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Lors de la validation d’un nouveau point de prélèvement d’eau potable par le préleveur, il est important de s’assurer de sa conf</w:t>
      </w:r>
      <w:bookmarkStart w:id="0" w:name="_GoBack"/>
      <w:bookmarkEnd w:id="0"/>
      <w:r>
        <w:rPr>
          <w:rFonts w:ascii="Marianne" w:hAnsi="Marianne"/>
          <w:sz w:val="20"/>
          <w:szCs w:val="20"/>
        </w:rPr>
        <w:t>ormité. Il est proposé</w:t>
      </w:r>
      <w:r>
        <w:rPr>
          <w:rFonts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</w:t>
      </w:r>
    </w:p>
    <w:p>
      <w:pPr>
        <w:pStyle w:val="ListParagraph"/>
        <w:numPr>
          <w:ilvl w:val="0"/>
          <w:numId w:val="1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d’interroger l’abonné ou l’exploitant spécifiquement sur ce nouveau point  PSV</w:t>
      </w:r>
      <w:r>
        <w:rPr>
          <w:rFonts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;</w:t>
      </w:r>
    </w:p>
    <w:p>
      <w:pPr>
        <w:pStyle w:val="ListParagraph"/>
        <w:numPr>
          <w:ilvl w:val="0"/>
          <w:numId w:val="1"/>
        </w:num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 vérifier la conformité du robinet.</w:t>
      </w:r>
    </w:p>
    <w:p>
      <w:pPr>
        <w:pStyle w:val="Normal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>Définition de la conformité d’un point de prélèvement :</w:t>
      </w:r>
    </w:p>
    <w:p>
      <w:pPr>
        <w:pStyle w:val="Normal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Un point de prélèvement est conforme pour la surveillance de la qualité de l’eau distribuée à la population s’il est raccordé uniquement et exclusivement au réseau d’eau potable en l’absence de tout système de filtration et de stockage. Il doit être correctement identifié</w:t>
      </w:r>
      <w:r>
        <w:rPr>
          <w:rFonts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 adresse exacte, nom de l</w:t>
      </w:r>
      <w:r>
        <w:rPr>
          <w:rFonts w:cs="Marianne" w:ascii="Marianne" w:hAnsi="Marianne"/>
          <w:sz w:val="20"/>
          <w:szCs w:val="20"/>
        </w:rPr>
        <w:t>’</w:t>
      </w:r>
      <w:r>
        <w:rPr>
          <w:rFonts w:ascii="Marianne" w:hAnsi="Marianne"/>
          <w:sz w:val="20"/>
          <w:szCs w:val="20"/>
        </w:rPr>
        <w:t>abonn</w:t>
      </w:r>
      <w:r>
        <w:rPr>
          <w:rFonts w:cs="Marianne" w:ascii="Marianne" w:hAnsi="Marianne"/>
          <w:sz w:val="20"/>
          <w:szCs w:val="20"/>
        </w:rPr>
        <w:t>é</w:t>
      </w:r>
      <w:r>
        <w:rPr>
          <w:rFonts w:ascii="Marianne" w:hAnsi="Marianne"/>
          <w:sz w:val="20"/>
          <w:szCs w:val="20"/>
        </w:rPr>
        <w:t xml:space="preserve"> s</w:t>
      </w:r>
      <w:r>
        <w:rPr>
          <w:rFonts w:cs="Marianne" w:ascii="Marianne" w:hAnsi="Marianne"/>
          <w:sz w:val="20"/>
          <w:szCs w:val="20"/>
        </w:rPr>
        <w:t>’</w:t>
      </w:r>
      <w:r>
        <w:rPr>
          <w:rFonts w:ascii="Marianne" w:hAnsi="Marianne"/>
          <w:sz w:val="20"/>
          <w:szCs w:val="20"/>
        </w:rPr>
        <w:t>il est localis</w:t>
      </w:r>
      <w:r>
        <w:rPr>
          <w:rFonts w:cs="Marianne" w:ascii="Marianne" w:hAnsi="Marianne"/>
          <w:sz w:val="20"/>
          <w:szCs w:val="20"/>
        </w:rPr>
        <w:t>é</w:t>
      </w:r>
      <w:r>
        <w:rPr>
          <w:rFonts w:ascii="Marianne" w:hAnsi="Marianne"/>
          <w:sz w:val="20"/>
          <w:szCs w:val="20"/>
        </w:rPr>
        <w:t xml:space="preserve"> chez un particulier, téléphone de l’abonné, coordonnées GPS et photo du robinet.</w:t>
      </w:r>
    </w:p>
    <w:p>
      <w:pPr>
        <w:pStyle w:val="Normal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>Questionnaire pour valider la conformité du PSV</w:t>
      </w:r>
      <w:r>
        <w:rPr>
          <w:rFonts w:cs="Calibri"/>
          <w:b/>
          <w:sz w:val="20"/>
          <w:szCs w:val="20"/>
        </w:rPr>
        <w:t> </w:t>
      </w:r>
      <w:r>
        <w:rPr>
          <w:rFonts w:ascii="Marianne" w:hAnsi="Marianne"/>
          <w:b/>
          <w:sz w:val="20"/>
          <w:szCs w:val="20"/>
        </w:rPr>
        <w:t xml:space="preserve">:  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65"/>
        <w:gridCol w:w="852"/>
        <w:gridCol w:w="845"/>
      </w:tblGrid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Question à poser à l’abonné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OUI</w:t>
            </w:r>
          </w:p>
        </w:tc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NON</w:t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Etes-vous relié au réseau d’eau potable</w:t>
            </w:r>
            <w:r>
              <w:rPr>
                <w:rFonts w:eastAsia="Calibri" w:cs="Calibri"/>
                <w:kern w:val="0"/>
                <w:sz w:val="20"/>
                <w:szCs w:val="20"/>
                <w:lang w:val="fr-FR" w:eastAsia="en-US" w:bidi="ar-SA"/>
              </w:rPr>
              <w:t> </w:t>
            </w: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?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X</w:t>
            </w:r>
          </w:p>
        </w:tc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1359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Le robinet que nous voulons utiliser est-il relié au réseau d’eau potable</w:t>
            </w:r>
            <w:r>
              <w:rPr>
                <w:rFonts w:eastAsia="Calibri" w:cs="Calibri"/>
                <w:kern w:val="0"/>
                <w:sz w:val="20"/>
                <w:szCs w:val="20"/>
                <w:lang w:val="fr-FR" w:eastAsia="en-US" w:bidi="ar-SA"/>
              </w:rPr>
              <w:t> </w:t>
            </w: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?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X</w:t>
            </w:r>
          </w:p>
        </w:tc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Possédez-vous un compteur d’eau agricole</w:t>
            </w:r>
            <w:r>
              <w:rPr>
                <w:rFonts w:eastAsia="Calibri" w:cs="Calibri"/>
                <w:kern w:val="0"/>
                <w:sz w:val="20"/>
                <w:szCs w:val="20"/>
                <w:lang w:val="fr-FR" w:eastAsia="en-US" w:bidi="ar-SA"/>
              </w:rPr>
              <w:t> </w:t>
            </w: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?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</w:r>
          </w:p>
        </w:tc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X</w:t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Possédez-vous une citerne de stockage reliée au réseau d’eau</w:t>
            </w:r>
            <w:r>
              <w:rPr>
                <w:rFonts w:eastAsia="Calibri" w:cs="Calibri"/>
                <w:kern w:val="0"/>
                <w:sz w:val="20"/>
                <w:szCs w:val="20"/>
                <w:lang w:val="fr-FR" w:eastAsia="en-US" w:bidi="ar-SA"/>
              </w:rPr>
              <w:t> </w:t>
            </w: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?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</w:r>
          </w:p>
        </w:tc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x</w:t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Possédez-vous un système de filtration de l’eau</w:t>
            </w:r>
            <w:r>
              <w:rPr>
                <w:rFonts w:eastAsia="Calibri" w:cs="Calibri"/>
                <w:kern w:val="0"/>
                <w:sz w:val="20"/>
                <w:szCs w:val="20"/>
                <w:lang w:val="fr-FR" w:eastAsia="en-US" w:bidi="ar-SA"/>
              </w:rPr>
              <w:t> </w:t>
            </w: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?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</w:r>
          </w:p>
        </w:tc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X</w:t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Possédez-vous un adoucisseur</w:t>
            </w:r>
            <w:r>
              <w:rPr>
                <w:rFonts w:eastAsia="Calibri" w:cs="Calibri"/>
                <w:kern w:val="0"/>
                <w:sz w:val="20"/>
                <w:szCs w:val="20"/>
                <w:lang w:val="fr-FR" w:eastAsia="en-US" w:bidi="ar-SA"/>
              </w:rPr>
              <w:t> </w:t>
            </w: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?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</w:r>
          </w:p>
        </w:tc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X</w:t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Validation du point du prélèvement *</w:t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  <w:t>X</w:t>
            </w:r>
          </w:p>
        </w:tc>
        <w:tc>
          <w:tcPr>
            <w:tcW w:w="84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eastAsia="Calibri" w:cs="" w:ascii="Marianne" w:hAnsi="Marianne"/>
                <w:kern w:val="0"/>
                <w:sz w:val="20"/>
                <w:szCs w:val="20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Marianne" w:hAnsi="Marianne"/>
          <w:i/>
          <w:i/>
          <w:sz w:val="20"/>
          <w:szCs w:val="20"/>
        </w:rPr>
      </w:pPr>
      <w:r>
        <w:rPr>
          <w:rFonts w:ascii="Marianne" w:hAnsi="Marianne"/>
          <w:i/>
          <w:sz w:val="20"/>
          <w:szCs w:val="20"/>
        </w:rPr>
        <w:t>*Tout autre profil de réponse ne validera pas la conformité du PSV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Définition de la conformité du robinet : 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Un robinet où est réalisé un prélèvement pour vérifier la qualité d’eau distribuée à la consommation humaine doit :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left="1276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-</w:t>
        <w:tab/>
        <w:t>être en bon état (pas de détérioration, pas de fuites, état général propre, dans un environnement propre) ;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left="1276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-</w:t>
        <w:tab/>
        <w:t>être facilement accessible avec un jet vertical ;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left="1276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-</w:t>
        <w:tab/>
        <w:t xml:space="preserve">pouvoir résister (robinet métallique) au flambage car le mode de désinfection privilégié du robinet est  le flambage; 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left="1276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-</w:t>
        <w:tab/>
        <w:t>le cas échéant avoir des brises jets et les mousseurs démontables ;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left="1276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-</w:t>
        <w:tab/>
        <w:t>Les prélèvements doivent être réalisés à écoulement constant (pas de poussoir par exemple) ;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left="1276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-</w:t>
        <w:tab/>
        <w:t>Le robinet doit permettre un recul suffisant pour assurer la réalisation des différentes étapes de l’acte de prélèvement (au moins un mètre);</w:t>
      </w:r>
    </w:p>
    <w:p>
      <w:pPr>
        <w:pStyle w:val="Normal"/>
        <w:spacing w:before="0" w:after="200"/>
        <w:ind w:left="1276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-</w:t>
        <w:tab/>
        <w:t>Le remplissage des flacons doit être facilité : au moins 30 cm entre le robinet et l’évacuation de l’eau.</w:t>
        <w:tab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arianne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tbl>
    <w:tblPr>
      <w:tblW w:w="9776" w:type="dxa"/>
      <w:jc w:val="left"/>
      <w:tblInd w:w="0" w:type="dxa"/>
      <w:tblLayout w:type="fixed"/>
      <w:tblCellMar>
        <w:top w:w="0" w:type="dxa"/>
        <w:left w:w="30" w:type="dxa"/>
        <w:bottom w:w="0" w:type="dxa"/>
        <w:right w:w="30" w:type="dxa"/>
      </w:tblCellMar>
      <w:tblLook w:firstRow="0" w:noVBand="0" w:lastRow="0" w:firstColumn="0" w:lastColumn="0" w:noHBand="0" w:val="0000"/>
    </w:tblPr>
    <w:tblGrid>
      <w:gridCol w:w="9776"/>
    </w:tblGrid>
    <w:tr>
      <w:trPr>
        <w:trHeight w:val="384" w:hRule="atLeast"/>
      </w:trPr>
      <w:tc>
        <w:tcPr>
          <w:tcW w:w="9776" w:type="dxa"/>
          <w:tcBorders/>
        </w:tcPr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8"/>
              <w:szCs w:val="28"/>
            </w:rPr>
          </w:pPr>
          <w:r>
            <w:rPr>
              <w:rFonts w:cs="Arial" w:ascii="Arial" w:hAnsi="Arial"/>
              <w:b/>
              <w:bCs/>
              <w:color w:val="000000"/>
              <w:sz w:val="28"/>
              <w:szCs w:val="28"/>
            </w:rPr>
            <w:t>Accord-cadre de services</w:t>
          </w:r>
        </w:p>
      </w:tc>
    </w:tr>
    <w:tr>
      <w:trPr>
        <w:trHeight w:val="336" w:hRule="atLeast"/>
      </w:trPr>
      <w:tc>
        <w:tcPr>
          <w:tcW w:w="9776" w:type="dxa"/>
          <w:tcBorders/>
        </w:tcPr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cs="Arial" w:ascii="Arial" w:hAnsi="Arial"/>
              <w:b/>
              <w:bCs/>
              <w:color w:val="000000"/>
              <w:sz w:val="24"/>
              <w:szCs w:val="24"/>
            </w:rPr>
            <w:t>Cahier des clauses techniques particulières</w:t>
          </w:r>
        </w:p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cs="Arial" w:ascii="Arial" w:hAnsi="Arial"/>
              <w:b/>
              <w:bCs/>
              <w:color w:val="000000"/>
              <w:sz w:val="24"/>
              <w:szCs w:val="24"/>
            </w:rPr>
            <w:t>Contrôle sanitaire des eaux à La Réunion</w:t>
          </w:r>
        </w:p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cs="Arial" w:ascii="Arial" w:hAnsi="Arial"/>
              <w:b/>
              <w:bCs/>
              <w:color w:val="000000"/>
              <w:sz w:val="24"/>
              <w:szCs w:val="24"/>
            </w:rPr>
          </w:r>
        </w:p>
      </w:tc>
    </w:tr>
    <w:tr>
      <w:trPr>
        <w:trHeight w:val="336" w:hRule="atLeast"/>
      </w:trPr>
      <w:tc>
        <w:tcPr>
          <w:tcW w:w="9776" w:type="dxa"/>
          <w:tcBorders/>
        </w:tcPr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cs="Arial" w:ascii="Arial" w:hAnsi="Arial"/>
              <w:b/>
              <w:bCs/>
              <w:color w:val="FF0000"/>
              <w:sz w:val="24"/>
              <w:szCs w:val="24"/>
            </w:rPr>
            <w:t xml:space="preserve">Annexe 9 </w:t>
          </w:r>
          <w:r>
            <w:rPr>
              <w:rFonts w:cs="Arial" w:ascii="Arial" w:hAnsi="Arial"/>
              <w:b/>
              <w:bCs/>
              <w:color w:val="000000"/>
              <w:sz w:val="24"/>
              <w:szCs w:val="24"/>
            </w:rPr>
            <w:t xml:space="preserve">– </w:t>
          </w:r>
          <w:r>
            <w:rPr>
              <w:rFonts w:cs="Arial" w:ascii="Arial" w:hAnsi="Arial"/>
              <w:b/>
              <w:bCs/>
              <w:i/>
              <w:color w:val="000000"/>
              <w:sz w:val="24"/>
              <w:szCs w:val="24"/>
            </w:rPr>
            <w:t>Questionnaire de validation d’un nouveau point de surveillance (PSV)</w:t>
          </w:r>
        </w:p>
      </w:tc>
    </w:tr>
  </w:tbl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tbl>
    <w:tblPr>
      <w:tblW w:w="9776" w:type="dxa"/>
      <w:jc w:val="left"/>
      <w:tblInd w:w="0" w:type="dxa"/>
      <w:tblLayout w:type="fixed"/>
      <w:tblCellMar>
        <w:top w:w="0" w:type="dxa"/>
        <w:left w:w="30" w:type="dxa"/>
        <w:bottom w:w="0" w:type="dxa"/>
        <w:right w:w="30" w:type="dxa"/>
      </w:tblCellMar>
      <w:tblLook w:firstRow="0" w:noVBand="0" w:lastRow="0" w:firstColumn="0" w:lastColumn="0" w:noHBand="0" w:val="0000"/>
    </w:tblPr>
    <w:tblGrid>
      <w:gridCol w:w="9776"/>
    </w:tblGrid>
    <w:tr>
      <w:trPr>
        <w:trHeight w:val="384" w:hRule="atLeast"/>
      </w:trPr>
      <w:tc>
        <w:tcPr>
          <w:tcW w:w="9776" w:type="dxa"/>
          <w:tcBorders/>
        </w:tcPr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8"/>
              <w:szCs w:val="28"/>
            </w:rPr>
          </w:pPr>
          <w:r>
            <w:rPr>
              <w:rFonts w:cs="Arial" w:ascii="Arial" w:hAnsi="Arial"/>
              <w:b/>
              <w:bCs/>
              <w:color w:val="000000"/>
              <w:sz w:val="28"/>
              <w:szCs w:val="28"/>
            </w:rPr>
            <w:t>Accord-cadre de services</w:t>
          </w:r>
        </w:p>
      </w:tc>
    </w:tr>
    <w:tr>
      <w:trPr>
        <w:trHeight w:val="336" w:hRule="atLeast"/>
      </w:trPr>
      <w:tc>
        <w:tcPr>
          <w:tcW w:w="9776" w:type="dxa"/>
          <w:tcBorders/>
        </w:tcPr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cs="Arial" w:ascii="Arial" w:hAnsi="Arial"/>
              <w:b/>
              <w:bCs/>
              <w:color w:val="000000"/>
              <w:sz w:val="24"/>
              <w:szCs w:val="24"/>
            </w:rPr>
            <w:t>Cahier des clauses techniques particulières</w:t>
          </w:r>
        </w:p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cs="Arial" w:ascii="Arial" w:hAnsi="Arial"/>
              <w:b/>
              <w:bCs/>
              <w:color w:val="000000"/>
              <w:sz w:val="24"/>
              <w:szCs w:val="24"/>
            </w:rPr>
            <w:t>Contrôle sanitaire des eaux à La Réunion</w:t>
          </w:r>
        </w:p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cs="Arial" w:ascii="Arial" w:hAnsi="Arial"/>
              <w:b/>
              <w:bCs/>
              <w:color w:val="000000"/>
              <w:sz w:val="24"/>
              <w:szCs w:val="24"/>
            </w:rPr>
          </w:r>
        </w:p>
      </w:tc>
    </w:tr>
    <w:tr>
      <w:trPr>
        <w:trHeight w:val="336" w:hRule="atLeast"/>
      </w:trPr>
      <w:tc>
        <w:tcPr>
          <w:tcW w:w="9776" w:type="dxa"/>
          <w:tcBorders/>
        </w:tcPr>
        <w:p>
          <w:pPr>
            <w:pStyle w:val="Normal"/>
            <w:spacing w:lineRule="auto" w:line="240" w:before="0" w:after="0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cs="Arial" w:ascii="Arial" w:hAnsi="Arial"/>
              <w:b/>
              <w:bCs/>
              <w:color w:val="FF0000"/>
              <w:sz w:val="24"/>
              <w:szCs w:val="24"/>
            </w:rPr>
            <w:t xml:space="preserve">Annexe 9 </w:t>
          </w:r>
          <w:r>
            <w:rPr>
              <w:rFonts w:cs="Arial" w:ascii="Arial" w:hAnsi="Arial"/>
              <w:b/>
              <w:bCs/>
              <w:color w:val="000000"/>
              <w:sz w:val="24"/>
              <w:szCs w:val="24"/>
            </w:rPr>
            <w:t xml:space="preserve">– </w:t>
          </w:r>
          <w:r>
            <w:rPr>
              <w:rFonts w:cs="Arial" w:ascii="Arial" w:hAnsi="Arial"/>
              <w:b/>
              <w:bCs/>
              <w:i/>
              <w:color w:val="000000"/>
              <w:sz w:val="24"/>
              <w:szCs w:val="24"/>
            </w:rPr>
            <w:t>Questionnaire de validation d’un nouveau point de surveillance (PSV)</w:t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d194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7a0a5a"/>
    <w:rPr>
      <w:rFonts w:ascii="Tahoma" w:hAnsi="Tahoma" w:cs="Tahoma"/>
      <w:sz w:val="16"/>
      <w:szCs w:val="16"/>
    </w:rPr>
  </w:style>
  <w:style w:type="character" w:styleId="En-tteCar" w:customStyle="1">
    <w:name w:val="En-tête Car"/>
    <w:basedOn w:val="DefaultParagraphFont"/>
    <w:uiPriority w:val="99"/>
    <w:qFormat/>
    <w:rsid w:val="002a6e57"/>
    <w:rPr/>
  </w:style>
  <w:style w:type="character" w:styleId="PieddepageCar" w:customStyle="1">
    <w:name w:val="Pied de page Car"/>
    <w:basedOn w:val="DefaultParagraphFont"/>
    <w:uiPriority w:val="99"/>
    <w:qFormat/>
    <w:rsid w:val="002a6e57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7a0a5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2a6e5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2a6e5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cf1094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a0a5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Application>LibreOffice/7.6.7.2$Windows_X86_64 LibreOffice_project/dd47e4b30cb7dab30588d6c79c651f218165e3c5</Application>
  <AppVersion>15.0000</AppVersion>
  <Pages>1</Pages>
  <Words>375</Words>
  <Characters>1917</Characters>
  <CharactersWithSpaces>2261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2021-04-15T07:39:00Z</dcterms:created>
  <dc:creator>GOUROUVIN-VINGATA, Aurélie</dc:creator>
  <dc:description/>
  <dc:language>fr-FR</dc:language>
  <cp:lastModifiedBy>BENOIT, Jérôme</cp:lastModifiedBy>
  <dcterms:modified xsi:type="dcterms:W3CDTF">2021-05-07T05:40:00Z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